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290" w:rsidRDefault="00F70290" w:rsidP="00677666">
      <w:pPr>
        <w:spacing w:line="480" w:lineRule="auto"/>
        <w:rPr>
          <w:rFonts w:ascii="Times New Roman" w:hAnsi="Times New Roman" w:cs="Times New Roman"/>
          <w:sz w:val="24"/>
          <w:szCs w:val="24"/>
        </w:rPr>
      </w:pPr>
    </w:p>
    <w:p w:rsidR="00677666" w:rsidRDefault="00677666" w:rsidP="00677666">
      <w:pPr>
        <w:spacing w:line="480" w:lineRule="auto"/>
        <w:rPr>
          <w:rFonts w:ascii="Times New Roman" w:hAnsi="Times New Roman" w:cs="Times New Roman"/>
          <w:sz w:val="24"/>
          <w:szCs w:val="24"/>
        </w:rPr>
      </w:pPr>
    </w:p>
    <w:p w:rsidR="00677666" w:rsidRDefault="00677666" w:rsidP="00677666">
      <w:pPr>
        <w:spacing w:line="480" w:lineRule="auto"/>
        <w:rPr>
          <w:rFonts w:ascii="Times New Roman" w:hAnsi="Times New Roman" w:cs="Times New Roman"/>
          <w:sz w:val="24"/>
          <w:szCs w:val="24"/>
        </w:rPr>
      </w:pPr>
    </w:p>
    <w:p w:rsidR="00F70290" w:rsidRDefault="00F70290" w:rsidP="004E5272">
      <w:pPr>
        <w:spacing w:line="480" w:lineRule="auto"/>
        <w:jc w:val="center"/>
        <w:rPr>
          <w:rFonts w:ascii="Times New Roman" w:hAnsi="Times New Roman" w:cs="Times New Roman"/>
          <w:sz w:val="24"/>
          <w:szCs w:val="24"/>
        </w:rPr>
      </w:pPr>
    </w:p>
    <w:p w:rsidR="00F70290" w:rsidRDefault="00F70290" w:rsidP="004E5272">
      <w:pPr>
        <w:spacing w:line="480" w:lineRule="auto"/>
        <w:rPr>
          <w:rFonts w:ascii="Times New Roman" w:hAnsi="Times New Roman" w:cs="Times New Roman"/>
          <w:sz w:val="24"/>
          <w:szCs w:val="24"/>
        </w:rPr>
      </w:pPr>
    </w:p>
    <w:p w:rsidR="00EF05E9" w:rsidRPr="00677666" w:rsidRDefault="001869D2" w:rsidP="004E5272">
      <w:pPr>
        <w:spacing w:line="480" w:lineRule="auto"/>
        <w:jc w:val="center"/>
        <w:rPr>
          <w:rFonts w:ascii="Times New Roman" w:hAnsi="Times New Roman" w:cs="Times New Roman"/>
          <w:b/>
          <w:sz w:val="24"/>
          <w:szCs w:val="24"/>
        </w:rPr>
      </w:pPr>
      <w:r w:rsidRPr="00677666">
        <w:rPr>
          <w:rFonts w:ascii="Times New Roman" w:hAnsi="Times New Roman" w:cs="Times New Roman"/>
          <w:b/>
          <w:sz w:val="24"/>
          <w:szCs w:val="24"/>
        </w:rPr>
        <w:t>Corporate Social Responsibility-ITC</w:t>
      </w:r>
    </w:p>
    <w:p w:rsidR="001869D2" w:rsidRDefault="001869D2" w:rsidP="004E527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0290" w:rsidRDefault="001869D2" w:rsidP="004E52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70290" w:rsidRDefault="00F70290" w:rsidP="004E5272">
      <w:pPr>
        <w:spacing w:line="480" w:lineRule="auto"/>
        <w:jc w:val="center"/>
        <w:rPr>
          <w:rFonts w:ascii="Times New Roman" w:hAnsi="Times New Roman" w:cs="Times New Roman"/>
          <w:sz w:val="24"/>
          <w:szCs w:val="24"/>
        </w:rPr>
      </w:pPr>
      <w:r w:rsidRPr="001869D2">
        <w:rPr>
          <w:rFonts w:ascii="Times New Roman" w:hAnsi="Times New Roman" w:cs="Times New Roman"/>
          <w:sz w:val="24"/>
          <w:szCs w:val="24"/>
        </w:rPr>
        <w:lastRenderedPageBreak/>
        <w:t>Corporate Social Responsibility</w:t>
      </w:r>
      <w:r>
        <w:rPr>
          <w:rFonts w:ascii="Times New Roman" w:hAnsi="Times New Roman" w:cs="Times New Roman"/>
          <w:sz w:val="24"/>
          <w:szCs w:val="24"/>
        </w:rPr>
        <w:t>-ITC</w:t>
      </w: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77666" w:rsidRDefault="00677666" w:rsidP="004E5272">
      <w:pPr>
        <w:spacing w:line="480" w:lineRule="auto"/>
        <w:rPr>
          <w:rFonts w:ascii="Times New Roman" w:hAnsi="Times New Roman" w:cs="Times New Roman"/>
          <w:sz w:val="24"/>
          <w:szCs w:val="24"/>
        </w:rPr>
      </w:pPr>
    </w:p>
    <w:p w:rsidR="00603E4C" w:rsidRPr="00677666" w:rsidRDefault="00603E4C" w:rsidP="004E5272">
      <w:pPr>
        <w:spacing w:line="480" w:lineRule="auto"/>
        <w:rPr>
          <w:rFonts w:ascii="Times New Roman" w:hAnsi="Times New Roman" w:cs="Times New Roman"/>
          <w:b/>
          <w:sz w:val="24"/>
          <w:szCs w:val="24"/>
        </w:rPr>
      </w:pPr>
      <w:r w:rsidRPr="00677666">
        <w:rPr>
          <w:rFonts w:ascii="Times New Roman" w:hAnsi="Times New Roman" w:cs="Times New Roman"/>
          <w:b/>
          <w:sz w:val="24"/>
          <w:szCs w:val="24"/>
        </w:rPr>
        <w:t>Part 1</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ITC is an Indian public company founded in 1910 and headquartered in Kolkata, West Bengal, India. It employs over 29,000 employees in over 60 locations spread out the Indian subcontinent and the Gulf countries that make its core market. ITC is a conglomerate that reaches the market through four segments that are Fas</w:t>
      </w:r>
      <w:r w:rsidR="00162219">
        <w:rPr>
          <w:rFonts w:ascii="Times New Roman" w:hAnsi="Times New Roman" w:cs="Times New Roman"/>
          <w:sz w:val="24"/>
          <w:szCs w:val="24"/>
        </w:rPr>
        <w:t xml:space="preserve">t Moving -Consumer Goods, </w:t>
      </w:r>
      <w:r w:rsidRPr="00603E4C">
        <w:rPr>
          <w:rFonts w:ascii="Times New Roman" w:hAnsi="Times New Roman" w:cs="Times New Roman"/>
          <w:sz w:val="24"/>
          <w:szCs w:val="24"/>
        </w:rPr>
        <w:t>Hotels, Paper boards, and paper &amp; packaging and agribusiness (Devex n. d).  Besides this product diversification that defines it as a conglomerate, ITC has created its strength through a strong brand, superior distribution networks especially in the agricultural sector, effective supply chain management and overboard service knowledge and skills in the hotel and hospitality industry.</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Additionally, the company, in its strength, has capitalized on the digital revolution currently to offer IT solutions to other companies. Despite these strategies that define its might, the company has focused on serving India and the Gulf countries, and this disqualifies it from location diversification. Nonetheless, the company has positioned itself strategically in various ways, including participating in CSR that is premised on its triple bottom concept (CSR World n. d). According to ITC (n. d), It creates a balance among these areas as can be seen in its creation of more than 29,000 direct jobs, irrigation of over 98,000 Ha, and sustaining a livelihood for over five million people in the economic, environmental and social sectors of the CSR program.</w:t>
      </w:r>
    </w:p>
    <w:p w:rsidR="00603E4C" w:rsidRPr="00677666" w:rsidRDefault="00603E4C" w:rsidP="004E5272">
      <w:pPr>
        <w:spacing w:line="480" w:lineRule="auto"/>
        <w:rPr>
          <w:rFonts w:ascii="Times New Roman" w:hAnsi="Times New Roman" w:cs="Times New Roman"/>
          <w:b/>
          <w:sz w:val="24"/>
          <w:szCs w:val="24"/>
        </w:rPr>
      </w:pPr>
      <w:r w:rsidRPr="00677666">
        <w:rPr>
          <w:rFonts w:ascii="Times New Roman" w:hAnsi="Times New Roman" w:cs="Times New Roman"/>
          <w:b/>
          <w:sz w:val="24"/>
          <w:szCs w:val="24"/>
        </w:rPr>
        <w:t>Part 2</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The above and among other CSR initiatives at ITC are in agreement with the standards provided by the ISO in 1926 and revised to reflect current trends. For instance, principle six and eight of this definition demand that businesses restore the environment and participate in inclusive </w:t>
      </w:r>
      <w:r w:rsidRPr="00603E4C">
        <w:rPr>
          <w:rFonts w:ascii="Times New Roman" w:hAnsi="Times New Roman" w:cs="Times New Roman"/>
          <w:sz w:val="24"/>
          <w:szCs w:val="24"/>
        </w:rPr>
        <w:lastRenderedPageBreak/>
        <w:t xml:space="preserve">growth, which is of course in tandem with the environmental and economic touchstones of the triple bottom program (Alpana 2014). Of course, the decision to pursue the concept on a tripartite model is strategic in the sense that every stakeholder has been taken care of. It is consistent with the realization of the fact that the company’s existence and sustainability hinge on every corner of this model. For instance, while the economic paradigm would create a healthy economic environment not only in the industry but also the entire nation for continuity of operation, the environmental concept restores the environment considering that it has interest in the hotel and cigarette sectors of the agricultural industry. </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ITC’s initiative is advantageous both internally and externally. By engaging the employees, the company grows their productivity and so its profitability, with the spillover going to the nation and the shareholders. It also gets to this very point by enhancing its image externally. However, there are disadvantages related to this, particularly on the side of the shareholders. Too much engagement may redefine and divert its focus from its core mandate of shareholder wealth maximization. There are costs involved in powering these projects, and that, of course, effectively trims down the residual income attributable to shareholders. </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The evolution of strategy planning at ITC was and still is premised on various factors. Firstly, the company is a going concern, but whose future depends on the sustainability of the economy and the environment and so the need to handle them appropriately. Secondly, the company realizes that competition is strife and will continue to be; beating it requires strategic positioning in the face of many influencers.  There could also be the concept of growing in both size and financial clout.  As a company founded in India, its activities concerning CSR are consistent with both the industry and the national practices. Shera (2017) indicates that it is mandatory in India to engage </w:t>
      </w:r>
      <w:r w:rsidRPr="00603E4C">
        <w:rPr>
          <w:rFonts w:ascii="Times New Roman" w:hAnsi="Times New Roman" w:cs="Times New Roman"/>
          <w:sz w:val="24"/>
          <w:szCs w:val="24"/>
        </w:rPr>
        <w:lastRenderedPageBreak/>
        <w:t>in CSR based on various qualifying indicators such as minimum revenue of $146 million annually, which is way below ITC’s $ 6.9 billion in the year ending 2018.</w:t>
      </w:r>
    </w:p>
    <w:p w:rsidR="00603E4C" w:rsidRPr="00677666" w:rsidRDefault="00603E4C" w:rsidP="004E5272">
      <w:pPr>
        <w:spacing w:line="480" w:lineRule="auto"/>
        <w:rPr>
          <w:rFonts w:ascii="Times New Roman" w:hAnsi="Times New Roman" w:cs="Times New Roman"/>
          <w:b/>
          <w:sz w:val="24"/>
          <w:szCs w:val="24"/>
        </w:rPr>
      </w:pPr>
      <w:r w:rsidRPr="00677666">
        <w:rPr>
          <w:rFonts w:ascii="Times New Roman" w:hAnsi="Times New Roman" w:cs="Times New Roman"/>
          <w:b/>
          <w:sz w:val="24"/>
          <w:szCs w:val="24"/>
        </w:rPr>
        <w:t>Part 3 Ethical Decision making</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At ITC, the decision-making process follows a trickle-down model of flow where the top management communicates the ideas and objectives to its lower counterpart. The ITC Portal (n. d) indicates that the management has the right and discretion to make these decisions and determine directions without restraint. It is, of course, an approach that gives the company ultimate control of its operations as it is the one that understands them. It is also commendable how the company blends this sole responsibility with the concepts of transparency and accountability. That is to mean that while the company determines the decisions it makes, it engages the stakeholders that would be affected. </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As a company, ITC believes that corporations, or any business enterprise, have economic, social and environmental responsibilities. Since they operate within the structures and dictates of these parameters, it is only sensitive and responsible that they engage them in sustainability concerns. From its definition of and adherenc</w:t>
      </w:r>
      <w:r w:rsidR="00175DE1">
        <w:rPr>
          <w:rFonts w:ascii="Times New Roman" w:hAnsi="Times New Roman" w:cs="Times New Roman"/>
          <w:sz w:val="24"/>
          <w:szCs w:val="24"/>
        </w:rPr>
        <w:t xml:space="preserve">e to corporate governance, ITC </w:t>
      </w:r>
      <w:r w:rsidRPr="00603E4C">
        <w:rPr>
          <w:rFonts w:ascii="Times New Roman" w:hAnsi="Times New Roman" w:cs="Times New Roman"/>
          <w:sz w:val="24"/>
          <w:szCs w:val="24"/>
        </w:rPr>
        <w:t>relies on cornerstones that relate to trusteeship, transparency, accountability, and ethical corporate citizenship. By inference, it is a process that considers all sides, and not exclusively the company’s.</w:t>
      </w:r>
    </w:p>
    <w:p w:rsidR="00603E4C" w:rsidRPr="00677666" w:rsidRDefault="00603E4C" w:rsidP="004E5272">
      <w:pPr>
        <w:spacing w:line="480" w:lineRule="auto"/>
        <w:rPr>
          <w:rFonts w:ascii="Times New Roman" w:hAnsi="Times New Roman" w:cs="Times New Roman"/>
          <w:b/>
          <w:sz w:val="24"/>
          <w:szCs w:val="24"/>
        </w:rPr>
      </w:pPr>
      <w:r w:rsidRPr="00677666">
        <w:rPr>
          <w:rFonts w:ascii="Times New Roman" w:hAnsi="Times New Roman" w:cs="Times New Roman"/>
          <w:b/>
          <w:sz w:val="24"/>
          <w:szCs w:val="24"/>
        </w:rPr>
        <w:t>Part 4: Critique the organization</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ITC strategic components about CSR are, of course, as illustrated, hinged on its tripartite model of the economy and the social and environmental elements. In its structural policies, the company considers as remarkable for its business, human factors, both externally and internally. It is as seen in its system to work within the legal definition, which includes avoiding child labour and workplace discrimination. Moreover, it takes into particular focus and consideration its external stakeholders as is the case in its approach to marginalized groups as well as the discouragement of human rights abuses.  The company also considers the environmental element as being equally important. By comparison, these components are similar in nature and application to other players such as TATA group that engages in social welfare and related programs. There is however s difference in the number and breadth of programs by ITC and other players which are of course in </w:t>
      </w:r>
      <w:r w:rsidR="00677666" w:rsidRPr="00603E4C">
        <w:rPr>
          <w:rFonts w:ascii="Times New Roman" w:hAnsi="Times New Roman" w:cs="Times New Roman"/>
          <w:sz w:val="24"/>
          <w:szCs w:val="24"/>
        </w:rPr>
        <w:t>favor</w:t>
      </w:r>
      <w:r w:rsidRPr="00603E4C">
        <w:rPr>
          <w:rFonts w:ascii="Times New Roman" w:hAnsi="Times New Roman" w:cs="Times New Roman"/>
          <w:sz w:val="24"/>
          <w:szCs w:val="24"/>
        </w:rPr>
        <w:t xml:space="preserve"> of ITC.</w:t>
      </w:r>
    </w:p>
    <w:p w:rsidR="00603E4C" w:rsidRPr="00677666" w:rsidRDefault="00603E4C" w:rsidP="004E5272">
      <w:pPr>
        <w:spacing w:line="480" w:lineRule="auto"/>
        <w:rPr>
          <w:rFonts w:ascii="Times New Roman" w:hAnsi="Times New Roman" w:cs="Times New Roman"/>
          <w:b/>
          <w:sz w:val="24"/>
          <w:szCs w:val="24"/>
        </w:rPr>
      </w:pPr>
      <w:r w:rsidRPr="00677666">
        <w:rPr>
          <w:rFonts w:ascii="Times New Roman" w:hAnsi="Times New Roman" w:cs="Times New Roman"/>
          <w:b/>
          <w:sz w:val="24"/>
          <w:szCs w:val="24"/>
        </w:rPr>
        <w:t>Part 5 Revised Strategy Plan</w:t>
      </w:r>
    </w:p>
    <w:p w:rsidR="00603E4C" w:rsidRPr="00603E4C" w:rsidRDefault="00603E4C" w:rsidP="004E5272">
      <w:pPr>
        <w:spacing w:line="480" w:lineRule="auto"/>
        <w:rPr>
          <w:rFonts w:ascii="Times New Roman" w:hAnsi="Times New Roman" w:cs="Times New Roman"/>
          <w:sz w:val="24"/>
          <w:szCs w:val="24"/>
        </w:rPr>
      </w:pPr>
      <w:r w:rsidRPr="00603E4C">
        <w:rPr>
          <w:rFonts w:ascii="Times New Roman" w:hAnsi="Times New Roman" w:cs="Times New Roman"/>
          <w:sz w:val="24"/>
          <w:szCs w:val="24"/>
        </w:rPr>
        <w:t xml:space="preserve">As mentioned, the risk of the company’s involvement in CSR is possible derailment from its core objective of shareholder wealth maximization.  However, the company can address this risk by balancing between these two great objectives; CSR and wealth creation. It can proceed to identify the core projects that have a direct and widespread impact on its stability and give them more focus. Those that are auxiliary can have resources initially directed towards them rechanneled to the former or back to the company. Arriving at this conclusion in this revision of the strategy followed re-tracking the core objectives of the company; the reasons why the company is an establishment in the first place. It is, however, worth noting that the revision does not eliminate all programs, but rather restructures to strike and stick to a balance for its benefit as well as that of its stakeholders. And this is where ethics gets involved as well. </w:t>
      </w:r>
    </w:p>
    <w:p w:rsidR="00603E4C" w:rsidRDefault="00603E4C" w:rsidP="00FC5420">
      <w:pPr>
        <w:spacing w:line="480" w:lineRule="auto"/>
        <w:rPr>
          <w:rFonts w:ascii="Times New Roman" w:hAnsi="Times New Roman" w:cs="Times New Roman"/>
          <w:sz w:val="24"/>
          <w:szCs w:val="24"/>
        </w:rPr>
      </w:pPr>
    </w:p>
    <w:p w:rsidR="00FC5420" w:rsidRDefault="00FC5420" w:rsidP="00FC5420">
      <w:pPr>
        <w:spacing w:line="480" w:lineRule="auto"/>
        <w:rPr>
          <w:rFonts w:ascii="Times New Roman" w:hAnsi="Times New Roman" w:cs="Times New Roman"/>
          <w:sz w:val="24"/>
          <w:szCs w:val="24"/>
        </w:rPr>
      </w:pPr>
    </w:p>
    <w:p w:rsidR="00603E4C" w:rsidRDefault="00603E4C" w:rsidP="004E5272">
      <w:pPr>
        <w:spacing w:line="480" w:lineRule="auto"/>
        <w:jc w:val="center"/>
        <w:rPr>
          <w:rFonts w:ascii="Times New Roman" w:hAnsi="Times New Roman" w:cs="Times New Roman"/>
          <w:sz w:val="24"/>
          <w:szCs w:val="24"/>
        </w:rPr>
      </w:pPr>
    </w:p>
    <w:p w:rsidR="00677666" w:rsidRDefault="00677666" w:rsidP="004E5272">
      <w:pPr>
        <w:spacing w:line="480" w:lineRule="auto"/>
        <w:jc w:val="center"/>
        <w:rPr>
          <w:rFonts w:ascii="Times New Roman" w:hAnsi="Times New Roman" w:cs="Times New Roman"/>
          <w:sz w:val="24"/>
          <w:szCs w:val="24"/>
        </w:rPr>
      </w:pPr>
    </w:p>
    <w:p w:rsidR="00677666" w:rsidRDefault="00677666" w:rsidP="004E5272">
      <w:pPr>
        <w:spacing w:line="480" w:lineRule="auto"/>
        <w:jc w:val="center"/>
        <w:rPr>
          <w:rFonts w:ascii="Times New Roman" w:hAnsi="Times New Roman" w:cs="Times New Roman"/>
          <w:sz w:val="24"/>
          <w:szCs w:val="24"/>
        </w:rPr>
      </w:pPr>
    </w:p>
    <w:p w:rsidR="00603E4C" w:rsidRPr="00677666" w:rsidRDefault="00603E4C" w:rsidP="004E5272">
      <w:pPr>
        <w:spacing w:line="480" w:lineRule="auto"/>
        <w:jc w:val="center"/>
        <w:rPr>
          <w:rFonts w:ascii="Times New Roman" w:hAnsi="Times New Roman" w:cs="Times New Roman"/>
          <w:b/>
          <w:sz w:val="24"/>
          <w:szCs w:val="24"/>
        </w:rPr>
      </w:pPr>
      <w:r w:rsidRPr="00677666">
        <w:rPr>
          <w:rFonts w:ascii="Times New Roman" w:hAnsi="Times New Roman" w:cs="Times New Roman"/>
          <w:b/>
          <w:sz w:val="24"/>
          <w:szCs w:val="24"/>
        </w:rPr>
        <w:t>Bibliography</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Alpana, I, 2014, CSR standards and guidelines: An Analytical review Journal of Economics and Finance, Volume 3, I</w:t>
      </w:r>
      <w:bookmarkStart w:id="0" w:name="_GoBack"/>
      <w:bookmarkEnd w:id="0"/>
      <w:r w:rsidRPr="00603E4C">
        <w:rPr>
          <w:rFonts w:ascii="Times New Roman" w:hAnsi="Times New Roman" w:cs="Times New Roman"/>
          <w:sz w:val="24"/>
          <w:szCs w:val="24"/>
        </w:rPr>
        <w:t>ssue 4, PP 52-60</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CSR World, n. d, ITC Limited Corporate Citizenship, accessed June 2019 from http://www.csrworld.net/itc-limited-corporate-citizenship.asp</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Devex, n. d, ITC Limited, accessed June 2019 from https://www.devex.com/organizations/itc-limited-48830</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ITC Portal, n. d, Definition and Purpose: The Governance Structure, Roles, and Board Committees, accessed from https://www.itcportal.com/about-itc/values/corporate-governance.aspx</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ITC, n. d, ITC: An Exemplar in Triple Bottom Line Performance, obtained June 2019 from https://www.itcportal.com/sustainability/sustainability-report-2012/triple-bottom-line.aspx</w:t>
      </w:r>
    </w:p>
    <w:p w:rsidR="00175DE1" w:rsidRPr="00603E4C" w:rsidRDefault="00175DE1" w:rsidP="004E5272">
      <w:pPr>
        <w:spacing w:line="480" w:lineRule="auto"/>
        <w:ind w:left="720" w:hanging="720"/>
        <w:rPr>
          <w:rFonts w:ascii="Times New Roman" w:hAnsi="Times New Roman" w:cs="Times New Roman"/>
          <w:sz w:val="24"/>
          <w:szCs w:val="24"/>
        </w:rPr>
      </w:pPr>
      <w:r w:rsidRPr="00603E4C">
        <w:rPr>
          <w:rFonts w:ascii="Times New Roman" w:hAnsi="Times New Roman" w:cs="Times New Roman"/>
          <w:sz w:val="24"/>
          <w:szCs w:val="24"/>
        </w:rPr>
        <w:t>Shera, D, 2017, Corporate Social Responsibility in India, retrieved from https://www.india-briefing.com/news/corporate-social-responsibility-india-5511.html/</w:t>
      </w:r>
    </w:p>
    <w:p w:rsidR="00603E4C" w:rsidRPr="00603E4C" w:rsidRDefault="00603E4C" w:rsidP="004E5272">
      <w:pPr>
        <w:spacing w:line="480" w:lineRule="auto"/>
        <w:rPr>
          <w:rFonts w:ascii="Times New Roman" w:hAnsi="Times New Roman" w:cs="Times New Roman"/>
          <w:sz w:val="24"/>
          <w:szCs w:val="24"/>
        </w:rPr>
      </w:pPr>
    </w:p>
    <w:p w:rsidR="00603E4C" w:rsidRPr="00603E4C" w:rsidRDefault="00603E4C" w:rsidP="004E5272">
      <w:pPr>
        <w:spacing w:line="480" w:lineRule="auto"/>
        <w:rPr>
          <w:rFonts w:ascii="Times New Roman" w:hAnsi="Times New Roman" w:cs="Times New Roman"/>
          <w:sz w:val="24"/>
          <w:szCs w:val="24"/>
        </w:rPr>
      </w:pPr>
    </w:p>
    <w:p w:rsidR="00603E4C" w:rsidRPr="00603E4C" w:rsidRDefault="00603E4C" w:rsidP="004E5272">
      <w:pPr>
        <w:spacing w:line="480" w:lineRule="auto"/>
        <w:rPr>
          <w:rFonts w:ascii="Times New Roman" w:hAnsi="Times New Roman" w:cs="Times New Roman"/>
          <w:sz w:val="24"/>
          <w:szCs w:val="24"/>
        </w:rPr>
      </w:pPr>
    </w:p>
    <w:p w:rsidR="00603E4C" w:rsidRPr="00603E4C" w:rsidRDefault="00603E4C" w:rsidP="004E5272">
      <w:pPr>
        <w:spacing w:line="480" w:lineRule="auto"/>
        <w:rPr>
          <w:rFonts w:ascii="Times New Roman" w:hAnsi="Times New Roman" w:cs="Times New Roman"/>
          <w:sz w:val="24"/>
          <w:szCs w:val="24"/>
        </w:rPr>
      </w:pPr>
    </w:p>
    <w:p w:rsidR="00603E4C" w:rsidRPr="00603E4C" w:rsidRDefault="00603E4C" w:rsidP="004E5272">
      <w:pPr>
        <w:spacing w:line="480" w:lineRule="auto"/>
        <w:rPr>
          <w:rFonts w:ascii="Times New Roman" w:hAnsi="Times New Roman" w:cs="Times New Roman"/>
          <w:sz w:val="24"/>
          <w:szCs w:val="24"/>
        </w:rPr>
      </w:pPr>
    </w:p>
    <w:p w:rsidR="00603E4C" w:rsidRPr="00603E4C" w:rsidRDefault="00603E4C" w:rsidP="004E5272">
      <w:pPr>
        <w:spacing w:line="480" w:lineRule="auto"/>
        <w:rPr>
          <w:rFonts w:ascii="Times New Roman" w:hAnsi="Times New Roman" w:cs="Times New Roman"/>
          <w:sz w:val="24"/>
          <w:szCs w:val="24"/>
        </w:rPr>
      </w:pPr>
    </w:p>
    <w:p w:rsidR="00603E4C" w:rsidRDefault="00603E4C" w:rsidP="004E5272">
      <w:pPr>
        <w:spacing w:line="480" w:lineRule="auto"/>
        <w:rPr>
          <w:rFonts w:ascii="Times New Roman" w:hAnsi="Times New Roman" w:cs="Times New Roman"/>
          <w:sz w:val="24"/>
          <w:szCs w:val="24"/>
        </w:rPr>
      </w:pPr>
    </w:p>
    <w:p w:rsidR="00F70290" w:rsidRDefault="00F70290" w:rsidP="004E5272">
      <w:pPr>
        <w:spacing w:line="480" w:lineRule="auto"/>
      </w:pPr>
    </w:p>
    <w:sectPr w:rsidR="00F70290" w:rsidSect="001869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087" w:rsidRDefault="00CA0087" w:rsidP="001869D2">
      <w:pPr>
        <w:spacing w:after="0" w:line="240" w:lineRule="auto"/>
      </w:pPr>
      <w:r>
        <w:separator/>
      </w:r>
    </w:p>
  </w:endnote>
  <w:endnote w:type="continuationSeparator" w:id="0">
    <w:p w:rsidR="00CA0087" w:rsidRDefault="00CA0087" w:rsidP="00186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087" w:rsidRDefault="00CA0087" w:rsidP="001869D2">
      <w:pPr>
        <w:spacing w:after="0" w:line="240" w:lineRule="auto"/>
      </w:pPr>
      <w:r>
        <w:separator/>
      </w:r>
    </w:p>
  </w:footnote>
  <w:footnote w:type="continuationSeparator" w:id="0">
    <w:p w:rsidR="00CA0087" w:rsidRDefault="00CA0087" w:rsidP="001869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570313"/>
      <w:docPartObj>
        <w:docPartGallery w:val="Page Numbers (Top of Page)"/>
        <w:docPartUnique/>
      </w:docPartObj>
    </w:sdtPr>
    <w:sdtEndPr/>
    <w:sdtContent>
      <w:p w:rsidR="001869D2" w:rsidRPr="001869D2" w:rsidRDefault="001869D2">
        <w:pPr>
          <w:pStyle w:val="Header"/>
          <w:jc w:val="right"/>
          <w:rPr>
            <w:rFonts w:ascii="Times New Roman" w:hAnsi="Times New Roman" w:cs="Times New Roman"/>
            <w:sz w:val="24"/>
            <w:szCs w:val="24"/>
          </w:rPr>
        </w:pPr>
        <w:r w:rsidRPr="001869D2">
          <w:rPr>
            <w:rFonts w:ascii="Times New Roman" w:hAnsi="Times New Roman" w:cs="Times New Roman"/>
            <w:sz w:val="24"/>
            <w:szCs w:val="24"/>
          </w:rPr>
          <w:t>CORPORATE SOCIAL RESPONSIBILITY</w:t>
        </w:r>
        <w:r>
          <w:rPr>
            <w:rFonts w:ascii="Times New Roman" w:hAnsi="Times New Roman" w:cs="Times New Roman"/>
            <w:sz w:val="24"/>
            <w:szCs w:val="24"/>
          </w:rPr>
          <w:t xml:space="preserve">                                                                                </w:t>
        </w:r>
        <w:r w:rsidRPr="001869D2">
          <w:rPr>
            <w:rFonts w:ascii="Times New Roman" w:hAnsi="Times New Roman" w:cs="Times New Roman"/>
            <w:sz w:val="24"/>
            <w:szCs w:val="24"/>
          </w:rPr>
          <w:t xml:space="preserve"> </w:t>
        </w:r>
        <w:r w:rsidRPr="001869D2">
          <w:rPr>
            <w:rFonts w:ascii="Times New Roman" w:hAnsi="Times New Roman" w:cs="Times New Roman"/>
            <w:sz w:val="24"/>
            <w:szCs w:val="24"/>
          </w:rPr>
          <w:fldChar w:fldCharType="begin"/>
        </w:r>
        <w:r w:rsidRPr="001869D2">
          <w:rPr>
            <w:rFonts w:ascii="Times New Roman" w:hAnsi="Times New Roman" w:cs="Times New Roman"/>
            <w:sz w:val="24"/>
            <w:szCs w:val="24"/>
          </w:rPr>
          <w:instrText xml:space="preserve"> PAGE   \* MERGEFORMAT </w:instrText>
        </w:r>
        <w:r w:rsidRPr="001869D2">
          <w:rPr>
            <w:rFonts w:ascii="Times New Roman" w:hAnsi="Times New Roman" w:cs="Times New Roman"/>
            <w:sz w:val="24"/>
            <w:szCs w:val="24"/>
          </w:rPr>
          <w:fldChar w:fldCharType="separate"/>
        </w:r>
        <w:r w:rsidR="00194CA0">
          <w:rPr>
            <w:rFonts w:ascii="Times New Roman" w:hAnsi="Times New Roman" w:cs="Times New Roman"/>
            <w:noProof/>
            <w:sz w:val="24"/>
            <w:szCs w:val="24"/>
          </w:rPr>
          <w:t>6</w:t>
        </w:r>
        <w:r w:rsidRPr="001869D2">
          <w:rPr>
            <w:rFonts w:ascii="Times New Roman" w:hAnsi="Times New Roman" w:cs="Times New Roman"/>
            <w:sz w:val="24"/>
            <w:szCs w:val="24"/>
          </w:rPr>
          <w:fldChar w:fldCharType="end"/>
        </w:r>
      </w:p>
    </w:sdtContent>
  </w:sdt>
  <w:p w:rsidR="001869D2" w:rsidRPr="001869D2" w:rsidRDefault="001869D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9D2" w:rsidRPr="001869D2" w:rsidRDefault="001869D2">
    <w:pPr>
      <w:pStyle w:val="Header"/>
      <w:rPr>
        <w:rFonts w:ascii="Times New Roman" w:hAnsi="Times New Roman" w:cs="Times New Roman"/>
        <w:sz w:val="24"/>
        <w:szCs w:val="24"/>
      </w:rPr>
    </w:pPr>
    <w:r w:rsidRPr="001869D2">
      <w:rPr>
        <w:rFonts w:ascii="Times New Roman" w:hAnsi="Times New Roman" w:cs="Times New Roman"/>
        <w:sz w:val="24"/>
        <w:szCs w:val="24"/>
      </w:rPr>
      <w:t xml:space="preserve">Running head: CORPORATE SOCIAL RESPONSIBILITY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9D2"/>
    <w:rsid w:val="00162219"/>
    <w:rsid w:val="00175DE1"/>
    <w:rsid w:val="001869D2"/>
    <w:rsid w:val="00194CA0"/>
    <w:rsid w:val="004E5272"/>
    <w:rsid w:val="00603E4C"/>
    <w:rsid w:val="00677666"/>
    <w:rsid w:val="00CA0087"/>
    <w:rsid w:val="00EF05E9"/>
    <w:rsid w:val="00F70290"/>
    <w:rsid w:val="00FC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4EC617-8302-487E-9501-63DE4A78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9D2"/>
  </w:style>
  <w:style w:type="paragraph" w:styleId="Footer">
    <w:name w:val="footer"/>
    <w:basedOn w:val="Normal"/>
    <w:link w:val="FooterChar"/>
    <w:uiPriority w:val="99"/>
    <w:semiHidden/>
    <w:unhideWhenUsed/>
    <w:rsid w:val="001869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6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KAVELLI</dc:creator>
  <cp:lastModifiedBy>Windows User</cp:lastModifiedBy>
  <cp:revision>2</cp:revision>
  <dcterms:created xsi:type="dcterms:W3CDTF">2019-06-23T20:52:00Z</dcterms:created>
  <dcterms:modified xsi:type="dcterms:W3CDTF">2019-06-23T20:52:00Z</dcterms:modified>
</cp:coreProperties>
</file>